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HAnsi" w:hAnsiTheme="minorHAnsi"/>
          <w:sz w:val="24"/>
        </w:rPr>
      </w:pPr>
      <w:r>
        <w:rPr>
          <w:rFonts w:hint="eastAsia" w:asciiTheme="minorHAnsi" w:hAnsiTheme="minorHAnsi"/>
          <w:sz w:val="24"/>
        </w:rPr>
        <w:t>附件</w:t>
      </w:r>
      <w:r>
        <w:rPr>
          <w:rFonts w:hint="eastAsia" w:asciiTheme="minorHAnsi" w:hAnsiTheme="minorHAnsi"/>
          <w:sz w:val="24"/>
          <w:lang w:val="en-US" w:eastAsia="zh-CN"/>
        </w:rPr>
        <w:t>2</w:t>
      </w:r>
      <w:r>
        <w:rPr>
          <w:rFonts w:hint="eastAsia" w:asciiTheme="minorHAnsi" w:hAnsiTheme="minorHAnsi"/>
          <w:sz w:val="24"/>
        </w:rPr>
        <w:t>：</w:t>
      </w:r>
    </w:p>
    <w:p>
      <w:pPr>
        <w:jc w:val="left"/>
        <w:rPr>
          <w:rFonts w:hint="eastAsia" w:ascii="方正小标宋简体" w:eastAsia="方正小标宋简体"/>
          <w:sz w:val="21"/>
          <w:szCs w:val="21"/>
        </w:rPr>
      </w:pPr>
      <w:r>
        <w:rPr>
          <w:rFonts w:hint="eastAsia" w:asciiTheme="minorHAnsi" w:hAnsiTheme="minorHAnsi"/>
          <w:sz w:val="24"/>
          <w:lang w:val="en-US" w:eastAsia="zh-CN"/>
        </w:rPr>
        <w:t>21</w:t>
      </w:r>
      <w:r>
        <w:rPr>
          <w:rFonts w:hint="eastAsia" w:asciiTheme="minorHAnsi" w:hAnsiTheme="minorHAnsi"/>
          <w:sz w:val="24"/>
        </w:rPr>
        <w:t>版</w:t>
      </w:r>
      <w:r>
        <w:rPr>
          <w:rFonts w:hint="eastAsia"/>
          <w:sz w:val="24"/>
        </w:rPr>
        <w:t>本科人才</w:t>
      </w:r>
      <w:r>
        <w:rPr>
          <w:rFonts w:hint="eastAsia" w:asciiTheme="minorHAnsi" w:hAnsiTheme="minorHAnsi"/>
          <w:sz w:val="24"/>
        </w:rPr>
        <w:t>培养方案</w:t>
      </w:r>
    </w:p>
    <w:p>
      <w:pPr>
        <w:jc w:val="center"/>
        <w:rPr>
          <w:rFonts w:hint="eastAsia"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通识教育课程平台</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8"/>
        <w:gridCol w:w="1172"/>
        <w:gridCol w:w="4884"/>
        <w:gridCol w:w="24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类型</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模块</w:t>
            </w:r>
          </w:p>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名称</w:t>
            </w:r>
          </w:p>
        </w:tc>
        <w:tc>
          <w:tcPr>
            <w:tcW w:w="488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教学目标</w:t>
            </w:r>
          </w:p>
        </w:tc>
        <w:tc>
          <w:tcPr>
            <w:tcW w:w="248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9" w:hRule="atLeast"/>
          <w:jc w:val="center"/>
        </w:trPr>
        <w:tc>
          <w:tcPr>
            <w:tcW w:w="788"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人文艺术类</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哲学与思维</w:t>
            </w:r>
          </w:p>
        </w:tc>
        <w:tc>
          <w:tcPr>
            <w:tcW w:w="4884"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引导大学生了解不同哲学体系的精髓、拓展思维的广度与深度，掌握批判性思维方法，养成批判性思维习惯，培养大学生的哲学思辨能力、批判意识和创新精神。</w:t>
            </w:r>
          </w:p>
        </w:tc>
        <w:tc>
          <w:tcPr>
            <w:tcW w:w="248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西方哲学经典导读</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东方哲学经典导读</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逻辑</w:t>
            </w:r>
            <w:r>
              <w:rPr>
                <w:rFonts w:hint="eastAsia" w:ascii="宋体" w:hAnsi="宋体"/>
                <w:color w:val="000000" w:themeColor="text1"/>
                <w:sz w:val="18"/>
                <w:szCs w:val="18"/>
                <w:lang w:eastAsia="zh-CN"/>
                <w14:textFill>
                  <w14:solidFill>
                    <w14:schemeClr w14:val="tx1"/>
                  </w14:solidFill>
                </w14:textFill>
              </w:rPr>
              <w:t>与</w:t>
            </w:r>
            <w:bookmarkStart w:id="0" w:name="_GoBack"/>
            <w:bookmarkEnd w:id="0"/>
            <w:r>
              <w:rPr>
                <w:rFonts w:hint="eastAsia" w:ascii="宋体" w:hAnsi="宋体"/>
                <w:color w:val="000000" w:themeColor="text1"/>
                <w:sz w:val="18"/>
                <w:szCs w:val="18"/>
                <w14:textFill>
                  <w14:solidFill>
                    <w14:schemeClr w14:val="tx1"/>
                  </w14:solidFill>
                </w14:textFill>
              </w:rPr>
              <w:t>批判性思维</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哲学与人生</w:t>
            </w:r>
            <w:r>
              <w:rPr>
                <w:rFonts w:hint="eastAsia" w:ascii="宋体" w:hAnsi="宋体"/>
                <w:color w:val="000000" w:themeColor="text1"/>
                <w:sz w:val="18"/>
                <w:szCs w:val="18"/>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71" w:hRule="atLeast"/>
          <w:jc w:val="center"/>
        </w:trPr>
        <w:tc>
          <w:tcPr>
            <w:tcW w:w="78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000000" w:themeColor="text1"/>
                <w:sz w:val="18"/>
                <w:szCs w:val="18"/>
                <w14:textFill>
                  <w14:solidFill>
                    <w14:schemeClr w14:val="tx1"/>
                  </w14:solidFill>
                </w14:textFill>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历史与文化</w:t>
            </w:r>
          </w:p>
        </w:tc>
        <w:tc>
          <w:tcPr>
            <w:tcW w:w="4884"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以中外经典史学、文学经典为核心，帮助大学生对中国传统历史文化与世界诸文明类型形成框架性理解，引导大学生尊重和包容文化的多样性，培养大学生正确的历史观、文化观，促进大学生拓宽国际视野，更好地认识中国、认识世界，树立自觉传承中华文明的使命感。</w:t>
            </w:r>
          </w:p>
        </w:tc>
        <w:tc>
          <w:tcPr>
            <w:tcW w:w="248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世界文明与历史</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中华文化与历史</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地方历史与文化</w:t>
            </w:r>
            <w:r>
              <w:rPr>
                <w:rFonts w:hint="eastAsia" w:ascii="宋体" w:hAnsi="宋体"/>
                <w:color w:val="000000" w:themeColor="text1"/>
                <w:sz w:val="18"/>
                <w:szCs w:val="18"/>
                <w:lang w:eastAsia="zh-CN"/>
                <w14:textFill>
                  <w14:solidFill>
                    <w14:schemeClr w14:val="tx1"/>
                  </w14:solidFill>
                </w14:textFill>
              </w:rPr>
              <w:t>传承。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36" w:hRule="atLeast"/>
          <w:jc w:val="center"/>
        </w:trPr>
        <w:tc>
          <w:tcPr>
            <w:tcW w:w="78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000000" w:themeColor="text1"/>
                <w:sz w:val="18"/>
                <w:szCs w:val="18"/>
                <w14:textFill>
                  <w14:solidFill>
                    <w14:schemeClr w14:val="tx1"/>
                  </w14:solidFill>
                </w14:textFill>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文学与艺术</w:t>
            </w:r>
          </w:p>
        </w:tc>
        <w:tc>
          <w:tcPr>
            <w:tcW w:w="4884"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通过文学欣赏与体验、艺术教学、美育与审美体验，引导大学生鉴赏古今中外优秀文艺作品，帮助大学生认识文艺本质，培养文艺思维，提高审美能力，提升人生境界。让大学生在真善美的浸润和感染下，逐渐形成积极、正面的思想情感、人生态度和价值观念，同时增强其艺术创造与表达能力。教学中注重欣赏与艺术体验相结合的过程性学习。</w:t>
            </w:r>
          </w:p>
        </w:tc>
        <w:tc>
          <w:tcPr>
            <w:tcW w:w="248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文学欣赏与创作</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艺术欣赏与体验</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艺术与新媒体</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本土民间艺术研学</w:t>
            </w:r>
            <w:r>
              <w:rPr>
                <w:rFonts w:hint="eastAsia" w:ascii="宋体" w:hAnsi="宋体"/>
                <w:color w:val="000000" w:themeColor="text1"/>
                <w:sz w:val="18"/>
                <w:szCs w:val="18"/>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45" w:hRule="atLeast"/>
          <w:jc w:val="center"/>
        </w:trPr>
        <w:tc>
          <w:tcPr>
            <w:tcW w:w="788"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社会科学类</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经济与社会</w:t>
            </w:r>
          </w:p>
        </w:tc>
        <w:tc>
          <w:tcPr>
            <w:tcW w:w="4884"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通过对社会科学理论的介绍以及适当的社会科学方法的训练，引导大学生理解现代经济基本运行机制，了解社会组织与管理的基本原理，掌握社会科学的基本研究范式与重要理论模型，学会对复杂社会现象理性判断，以及使用社会科学的视角去审视中国和世界的能力，并拓宽大学生对中外经济与社会比较研究的全球化视野。</w:t>
            </w:r>
          </w:p>
        </w:tc>
        <w:tc>
          <w:tcPr>
            <w:tcW w:w="248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商业与投资</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法律、产业与生活</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文化与传播</w:t>
            </w:r>
            <w:r>
              <w:rPr>
                <w:rFonts w:hint="eastAsia" w:ascii="宋体" w:hAnsi="宋体"/>
                <w:color w:val="000000" w:themeColor="text1"/>
                <w:sz w:val="18"/>
                <w:szCs w:val="18"/>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08" w:hRule="atLeast"/>
          <w:jc w:val="center"/>
        </w:trPr>
        <w:tc>
          <w:tcPr>
            <w:tcW w:w="78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000000" w:themeColor="text1"/>
                <w:sz w:val="18"/>
                <w:szCs w:val="18"/>
                <w14:textFill>
                  <w14:solidFill>
                    <w14:schemeClr w14:val="tx1"/>
                  </w14:solidFill>
                </w14:textFill>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沟通与领导</w:t>
            </w:r>
          </w:p>
        </w:tc>
        <w:tc>
          <w:tcPr>
            <w:tcW w:w="4884"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通过多领域的课程设置，着力强化大学生的沟通与领导能力，提升大学生的跨界整合能力，培育具有国际视野、家国情怀，以及广博知识、跨文化沟通能力，能够担当引领未来和造福社会的卓越领军人才。</w:t>
            </w:r>
          </w:p>
        </w:tc>
        <w:tc>
          <w:tcPr>
            <w:tcW w:w="248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国际沟通与表达</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沟通能力与技巧</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领导艺术</w:t>
            </w:r>
            <w:r>
              <w:rPr>
                <w:rFonts w:hint="eastAsia" w:ascii="宋体" w:hAnsi="宋体"/>
                <w:color w:val="000000" w:themeColor="text1"/>
                <w:sz w:val="18"/>
                <w:szCs w:val="18"/>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06" w:hRule="atLeast"/>
          <w:jc w:val="center"/>
        </w:trPr>
        <w:tc>
          <w:tcPr>
            <w:tcW w:w="788"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自然科学类</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科学与研究</w:t>
            </w:r>
          </w:p>
        </w:tc>
        <w:tc>
          <w:tcPr>
            <w:tcW w:w="4884"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激发大学生的求知欲与对于科技未来发展的想象力和创造力，引导其了解自然现象与科技创造的规律，及掌握自然科学研究的一般方法。培养大学生形成良好的数理思维、逻辑思维、创新思维意识，提升大学生的科学素养、运用科学知识和科学规律解决实际问题的能力、技术创新与创新实践的能力。</w:t>
            </w:r>
          </w:p>
        </w:tc>
        <w:tc>
          <w:tcPr>
            <w:tcW w:w="248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科学精神与应用</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科技探索与技术创新</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生态环境与可持续发展</w:t>
            </w:r>
            <w:r>
              <w:rPr>
                <w:rFonts w:hint="eastAsia" w:ascii="宋体" w:hAnsi="宋体"/>
                <w:color w:val="000000" w:themeColor="text1"/>
                <w:sz w:val="18"/>
                <w:szCs w:val="18"/>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08" w:hRule="atLeast"/>
          <w:jc w:val="center"/>
        </w:trPr>
        <w:tc>
          <w:tcPr>
            <w:tcW w:w="78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olor w:val="000000" w:themeColor="text1"/>
                <w:sz w:val="18"/>
                <w:szCs w:val="18"/>
                <w14:textFill>
                  <w14:solidFill>
                    <w14:schemeClr w14:val="tx1"/>
                  </w14:solidFill>
                </w14:textFill>
              </w:rPr>
            </w:pPr>
          </w:p>
        </w:tc>
        <w:tc>
          <w:tcPr>
            <w:tcW w:w="117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健康与生活</w:t>
            </w:r>
          </w:p>
        </w:tc>
        <w:tc>
          <w:tcPr>
            <w:tcW w:w="4884"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对开展健康教育、绿色生活和生命关怀，培养大学生绿色、健康的生活方式和阳光心态，促进大学生树立“人人为健康，健康为人人”公共卫生理念，倡导健康文明生活方式，激励大学生珍爱生命，提升健康水平与生命价值。</w:t>
            </w:r>
          </w:p>
        </w:tc>
        <w:tc>
          <w:tcPr>
            <w:tcW w:w="248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生命保障与关怀</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身心健康与</w:t>
            </w:r>
            <w:r>
              <w:rPr>
                <w:rFonts w:hint="eastAsia" w:ascii="宋体" w:hAnsi="宋体"/>
                <w:color w:val="000000" w:themeColor="text1"/>
                <w:sz w:val="18"/>
                <w:szCs w:val="18"/>
                <w:lang w:eastAsia="zh-CN"/>
                <w14:textFill>
                  <w14:solidFill>
                    <w14:schemeClr w14:val="tx1"/>
                  </w14:solidFill>
                </w14:textFill>
              </w:rPr>
              <w:t>维护；</w:t>
            </w:r>
            <w:r>
              <w:rPr>
                <w:rFonts w:hint="eastAsia" w:ascii="宋体" w:hAnsi="宋体"/>
                <w:color w:val="000000" w:themeColor="text1"/>
                <w:sz w:val="18"/>
                <w:szCs w:val="18"/>
                <w14:textFill>
                  <w14:solidFill>
                    <w14:schemeClr w14:val="tx1"/>
                  </w14:solidFill>
                </w14:textFill>
              </w:rPr>
              <w:t>科技与休闲</w:t>
            </w:r>
            <w:r>
              <w:rPr>
                <w:rFonts w:hint="eastAsia" w:ascii="宋体" w:hAnsi="宋体"/>
                <w:color w:val="000000" w:themeColor="text1"/>
                <w:sz w:val="18"/>
                <w:szCs w:val="18"/>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1" w:hRule="atLeast"/>
          <w:jc w:val="center"/>
        </w:trPr>
        <w:tc>
          <w:tcPr>
            <w:tcW w:w="78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综合素质与自我发展课程</w:t>
            </w:r>
          </w:p>
        </w:tc>
        <w:tc>
          <w:tcPr>
            <w:tcW w:w="117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各类讲座</w:t>
            </w:r>
          </w:p>
        </w:tc>
        <w:tc>
          <w:tcPr>
            <w:tcW w:w="737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themeColor="text1"/>
                <w:spacing w:val="-4"/>
                <w:sz w:val="18"/>
                <w:szCs w:val="18"/>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每参与一次讲座计0.15学分，各专业学生至少须参与10次讲座。</w:t>
            </w:r>
          </w:p>
        </w:tc>
      </w:tr>
    </w:tbl>
    <w:p>
      <w:pPr>
        <w:ind w:firstLine="180" w:firstLineChars="100"/>
        <w:jc w:val="left"/>
        <w:rPr>
          <w:rFonts w:hint="eastAsia" w:ascii="宋体" w:hAnsi="宋体" w:eastAsia="宋体"/>
          <w:color w:val="000000" w:themeColor="text1"/>
          <w:spacing w:val="-4"/>
          <w:sz w:val="18"/>
          <w:szCs w:val="18"/>
          <w:lang w:eastAsia="zh-CN"/>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备注：</w:t>
      </w:r>
      <w:r>
        <w:rPr>
          <w:rFonts w:hint="eastAsia" w:ascii="宋体" w:hAnsi="宋体"/>
          <w:color w:val="000000" w:themeColor="text1"/>
          <w:spacing w:val="-4"/>
          <w:sz w:val="18"/>
          <w:szCs w:val="18"/>
          <w14:textFill>
            <w14:solidFill>
              <w14:schemeClr w14:val="tx1"/>
            </w14:solidFill>
          </w14:textFill>
        </w:rPr>
        <w:t>1</w:t>
      </w:r>
      <w:r>
        <w:rPr>
          <w:rFonts w:hint="eastAsia" w:ascii="宋体" w:hAnsi="宋体"/>
          <w:color w:val="000000" w:themeColor="text1"/>
          <w:spacing w:val="-4"/>
          <w:sz w:val="18"/>
          <w:szCs w:val="18"/>
          <w:lang w:val="en-US" w:eastAsia="zh-CN"/>
          <w14:textFill>
            <w14:solidFill>
              <w14:schemeClr w14:val="tx1"/>
            </w14:solidFill>
          </w14:textFill>
        </w:rPr>
        <w:t>.</w:t>
      </w:r>
      <w:r>
        <w:rPr>
          <w:rFonts w:hint="eastAsia" w:ascii="宋体" w:hAnsi="宋体"/>
          <w:color w:val="000000" w:themeColor="text1"/>
          <w:spacing w:val="-4"/>
          <w:sz w:val="18"/>
          <w:szCs w:val="18"/>
          <w14:textFill>
            <w14:solidFill>
              <w14:schemeClr w14:val="tx1"/>
            </w14:solidFill>
          </w14:textFill>
        </w:rPr>
        <w:t>每个课程群</w:t>
      </w:r>
      <w:r>
        <w:rPr>
          <w:rFonts w:hint="eastAsia" w:ascii="宋体" w:hAnsi="宋体"/>
          <w:color w:val="000000" w:themeColor="text1"/>
          <w:spacing w:val="-4"/>
          <w:sz w:val="18"/>
          <w:szCs w:val="18"/>
          <w:lang w:val="en-US" w:eastAsia="zh-CN"/>
          <w14:textFill>
            <w14:solidFill>
              <w14:schemeClr w14:val="tx1"/>
            </w14:solidFill>
          </w14:textFill>
        </w:rPr>
        <w:t>包</w:t>
      </w:r>
      <w:r>
        <w:rPr>
          <w:rFonts w:hint="eastAsia" w:ascii="宋体" w:hAnsi="宋体"/>
          <w:color w:val="000000" w:themeColor="text1"/>
          <w:spacing w:val="-4"/>
          <w:sz w:val="18"/>
          <w:szCs w:val="18"/>
          <w14:textFill>
            <w14:solidFill>
              <w14:schemeClr w14:val="tx1"/>
            </w14:solidFill>
          </w14:textFill>
        </w:rPr>
        <w:t>含多门通识核心课程和通识一般课程，具体课程开设情况见选课通知</w:t>
      </w:r>
      <w:r>
        <w:rPr>
          <w:rFonts w:hint="eastAsia" w:ascii="宋体" w:hAnsi="宋体"/>
          <w:color w:val="000000" w:themeColor="text1"/>
          <w:spacing w:val="-4"/>
          <w:sz w:val="18"/>
          <w:szCs w:val="18"/>
          <w:lang w:eastAsia="zh-CN"/>
          <w14:textFill>
            <w14:solidFill>
              <w14:schemeClr w14:val="tx1"/>
            </w14:solidFill>
          </w14:textFill>
        </w:rPr>
        <w:t>；</w:t>
      </w:r>
    </w:p>
    <w:p>
      <w:pPr>
        <w:ind w:firstLine="688" w:firstLineChars="400"/>
        <w:jc w:val="left"/>
        <w:rPr>
          <w:rFonts w:hint="eastAsia" w:ascii="宋体" w:hAnsi="宋体" w:eastAsia="宋体"/>
          <w:color w:val="000000" w:themeColor="text1"/>
          <w:spacing w:val="-4"/>
          <w:sz w:val="18"/>
          <w:szCs w:val="18"/>
          <w:lang w:eastAsia="zh-CN"/>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2</w:t>
      </w:r>
      <w:r>
        <w:rPr>
          <w:rFonts w:hint="eastAsia" w:ascii="宋体" w:hAnsi="宋体"/>
          <w:color w:val="000000" w:themeColor="text1"/>
          <w:spacing w:val="-4"/>
          <w:sz w:val="18"/>
          <w:szCs w:val="18"/>
          <w:lang w:val="en-US" w:eastAsia="zh-CN"/>
          <w14:textFill>
            <w14:solidFill>
              <w14:schemeClr w14:val="tx1"/>
            </w14:solidFill>
          </w14:textFill>
        </w:rPr>
        <w:t>.</w:t>
      </w:r>
      <w:r>
        <w:rPr>
          <w:rFonts w:hint="eastAsia" w:ascii="宋体" w:hAnsi="宋体"/>
          <w:color w:val="000000" w:themeColor="text1"/>
          <w:spacing w:val="-4"/>
          <w:sz w:val="18"/>
          <w:szCs w:val="18"/>
          <w14:textFill>
            <w14:solidFill>
              <w14:schemeClr w14:val="tx1"/>
            </w14:solidFill>
          </w14:textFill>
        </w:rPr>
        <w:t>至少选修4个不同模块的通识核心课程，且通识核心课程不少于6学分</w:t>
      </w:r>
      <w:r>
        <w:rPr>
          <w:rFonts w:hint="eastAsia" w:ascii="宋体" w:hAnsi="宋体"/>
          <w:color w:val="000000" w:themeColor="text1"/>
          <w:spacing w:val="-4"/>
          <w:sz w:val="18"/>
          <w:szCs w:val="18"/>
          <w:lang w:eastAsia="zh-CN"/>
          <w14:textFill>
            <w14:solidFill>
              <w14:schemeClr w14:val="tx1"/>
            </w14:solidFill>
          </w14:textFill>
        </w:rPr>
        <w:t>；</w:t>
      </w:r>
    </w:p>
    <w:p>
      <w:pPr>
        <w:ind w:firstLine="688" w:firstLineChars="400"/>
        <w:jc w:val="left"/>
        <w:rPr>
          <w:rFonts w:hint="eastAsia" w:ascii="宋体" w:hAnsi="宋体" w:eastAsia="宋体"/>
          <w:color w:val="000000" w:themeColor="text1"/>
          <w:spacing w:val="-4"/>
          <w:sz w:val="18"/>
          <w:szCs w:val="18"/>
          <w:lang w:eastAsia="zh-CN"/>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3</w:t>
      </w:r>
      <w:r>
        <w:rPr>
          <w:rFonts w:hint="eastAsia" w:ascii="宋体" w:hAnsi="宋体"/>
          <w:color w:val="000000" w:themeColor="text1"/>
          <w:spacing w:val="-4"/>
          <w:sz w:val="18"/>
          <w:szCs w:val="18"/>
          <w:lang w:val="en-US" w:eastAsia="zh-CN"/>
          <w14:textFill>
            <w14:solidFill>
              <w14:schemeClr w14:val="tx1"/>
            </w14:solidFill>
          </w14:textFill>
        </w:rPr>
        <w:t>.</w:t>
      </w:r>
      <w:r>
        <w:rPr>
          <w:rFonts w:hint="eastAsia" w:ascii="宋体" w:hAnsi="宋体"/>
          <w:color w:val="000000" w:themeColor="text1"/>
          <w:spacing w:val="-4"/>
          <w:sz w:val="18"/>
          <w:szCs w:val="18"/>
          <w:lang w:eastAsia="zh-CN"/>
          <w14:textFill>
            <w14:solidFill>
              <w14:schemeClr w14:val="tx1"/>
            </w14:solidFill>
          </w14:textFill>
        </w:rPr>
        <w:t>选修</w:t>
      </w:r>
      <w:r>
        <w:rPr>
          <w:rFonts w:hint="eastAsia" w:ascii="宋体" w:hAnsi="宋体"/>
          <w:color w:val="000000" w:themeColor="text1"/>
          <w:spacing w:val="-4"/>
          <w:sz w:val="18"/>
          <w:szCs w:val="18"/>
          <w14:textFill>
            <w14:solidFill>
              <w14:schemeClr w14:val="tx1"/>
            </w14:solidFill>
          </w14:textFill>
        </w:rPr>
        <w:t>“文学与艺术”模块艺术类</w:t>
      </w:r>
      <w:r>
        <w:rPr>
          <w:rFonts w:hint="eastAsia" w:ascii="宋体" w:hAnsi="宋体"/>
          <w:color w:val="000000" w:themeColor="text1"/>
          <w:spacing w:val="-4"/>
          <w:sz w:val="18"/>
          <w:szCs w:val="18"/>
          <w:lang w:eastAsia="zh-CN"/>
          <w14:textFill>
            <w14:solidFill>
              <w14:schemeClr w14:val="tx1"/>
            </w14:solidFill>
          </w14:textFill>
        </w:rPr>
        <w:t>核心</w:t>
      </w:r>
      <w:r>
        <w:rPr>
          <w:rFonts w:hint="eastAsia" w:ascii="宋体" w:hAnsi="宋体"/>
          <w:color w:val="000000" w:themeColor="text1"/>
          <w:spacing w:val="-4"/>
          <w:sz w:val="18"/>
          <w:szCs w:val="18"/>
          <w14:textFill>
            <w14:solidFill>
              <w14:schemeClr w14:val="tx1"/>
            </w14:solidFill>
          </w14:textFill>
        </w:rPr>
        <w:t>课程不少于2学分</w:t>
      </w:r>
      <w:r>
        <w:rPr>
          <w:rFonts w:hint="eastAsia" w:ascii="宋体" w:hAnsi="宋体"/>
          <w:color w:val="000000" w:themeColor="text1"/>
          <w:spacing w:val="-4"/>
          <w:sz w:val="18"/>
          <w:szCs w:val="18"/>
          <w:lang w:eastAsia="zh-CN"/>
          <w14:textFill>
            <w14:solidFill>
              <w14:schemeClr w14:val="tx1"/>
            </w14:solidFill>
          </w14:textFill>
        </w:rPr>
        <w:t>；</w:t>
      </w:r>
    </w:p>
    <w:p>
      <w:pPr>
        <w:ind w:firstLine="688" w:firstLineChars="400"/>
        <w:jc w:val="left"/>
        <w:rPr>
          <w:rFonts w:hint="default" w:ascii="宋体" w:hAnsi="宋体" w:eastAsia="宋体"/>
          <w:color w:val="000000" w:themeColor="text1"/>
          <w:spacing w:val="-4"/>
          <w:sz w:val="18"/>
          <w:szCs w:val="18"/>
          <w:lang w:val="en-US" w:eastAsia="zh-CN"/>
          <w14:textFill>
            <w14:solidFill>
              <w14:schemeClr w14:val="tx1"/>
            </w14:solidFill>
          </w14:textFill>
        </w:rPr>
      </w:pPr>
      <w:r>
        <w:rPr>
          <w:rFonts w:hint="eastAsia" w:ascii="宋体" w:hAnsi="宋体"/>
          <w:color w:val="000000" w:themeColor="text1"/>
          <w:spacing w:val="-4"/>
          <w:sz w:val="18"/>
          <w:szCs w:val="18"/>
          <w:lang w:val="en-US" w:eastAsia="zh-CN"/>
          <w14:textFill>
            <w14:solidFill>
              <w14:schemeClr w14:val="tx1"/>
            </w14:solidFill>
          </w14:textFill>
        </w:rPr>
        <w:t>4.师范专业学生必须在“沟通与领导”模块的“</w:t>
      </w:r>
      <w:r>
        <w:rPr>
          <w:rFonts w:hint="eastAsia" w:ascii="宋体" w:hAnsi="宋体"/>
          <w:color w:val="000000" w:themeColor="text1"/>
          <w:sz w:val="18"/>
          <w:szCs w:val="18"/>
          <w14:textFill>
            <w14:solidFill>
              <w14:schemeClr w14:val="tx1"/>
            </w14:solidFill>
          </w14:textFill>
        </w:rPr>
        <w:t>沟通能力与技巧</w:t>
      </w:r>
      <w:r>
        <w:rPr>
          <w:rFonts w:hint="eastAsia" w:ascii="宋体" w:hAnsi="宋体"/>
          <w:color w:val="000000" w:themeColor="text1"/>
          <w:spacing w:val="-4"/>
          <w:sz w:val="18"/>
          <w:szCs w:val="18"/>
          <w:lang w:val="en-US" w:eastAsia="zh-CN"/>
          <w14:textFill>
            <w14:solidFill>
              <w14:schemeClr w14:val="tx1"/>
            </w14:solidFill>
          </w14:textFill>
        </w:rPr>
        <w:t>”课群中选修《形象与礼仪》课程0.5学分；</w:t>
      </w:r>
    </w:p>
    <w:p>
      <w:pPr>
        <w:ind w:firstLine="688" w:firstLineChars="400"/>
        <w:jc w:val="left"/>
        <w:rPr>
          <w:rFonts w:hint="default" w:ascii="宋体" w:hAnsi="宋体" w:eastAsia="宋体"/>
          <w:color w:val="000000" w:themeColor="text1"/>
          <w:spacing w:val="-4"/>
          <w:sz w:val="18"/>
          <w:szCs w:val="18"/>
          <w:lang w:val="en-US" w:eastAsia="zh-CN"/>
          <w14:textFill>
            <w14:solidFill>
              <w14:schemeClr w14:val="tx1"/>
            </w14:solidFill>
          </w14:textFill>
        </w:rPr>
      </w:pPr>
      <w:r>
        <w:rPr>
          <w:rFonts w:hint="eastAsia" w:ascii="宋体" w:hAnsi="宋体"/>
          <w:color w:val="000000" w:themeColor="text1"/>
          <w:spacing w:val="-4"/>
          <w:sz w:val="18"/>
          <w:szCs w:val="18"/>
          <w14:textFill>
            <w14:solidFill>
              <w14:schemeClr w14:val="tx1"/>
            </w14:solidFill>
          </w14:textFill>
        </w:rPr>
        <w:t>5</w:t>
      </w:r>
      <w:r>
        <w:rPr>
          <w:rFonts w:hint="eastAsia" w:ascii="宋体" w:hAnsi="宋体"/>
          <w:color w:val="000000" w:themeColor="text1"/>
          <w:spacing w:val="-4"/>
          <w:sz w:val="18"/>
          <w:szCs w:val="18"/>
          <w:lang w:val="en-US" w:eastAsia="zh-CN"/>
          <w14:textFill>
            <w14:solidFill>
              <w14:schemeClr w14:val="tx1"/>
            </w14:solidFill>
          </w14:textFill>
        </w:rPr>
        <w:t>.</w:t>
      </w:r>
      <w:r>
        <w:rPr>
          <w:rFonts w:hint="eastAsia" w:ascii="宋体" w:hAnsi="宋体"/>
          <w:color w:val="000000" w:themeColor="text1"/>
          <w:spacing w:val="-4"/>
          <w:sz w:val="18"/>
          <w:szCs w:val="18"/>
          <w:lang w:eastAsia="zh-CN"/>
          <w14:textFill>
            <w14:solidFill>
              <w14:schemeClr w14:val="tx1"/>
            </w14:solidFill>
          </w14:textFill>
        </w:rPr>
        <w:t>非师范专业学生必须在“哲学与思维”模块的“</w:t>
      </w:r>
      <w:r>
        <w:rPr>
          <w:rFonts w:hint="eastAsia" w:ascii="宋体" w:hAnsi="宋体"/>
          <w:color w:val="000000" w:themeColor="text1"/>
          <w:sz w:val="18"/>
          <w:szCs w:val="18"/>
          <w:lang w:val="en-US" w:eastAsia="zh-CN"/>
          <w14:textFill>
            <w14:solidFill>
              <w14:schemeClr w14:val="tx1"/>
            </w14:solidFill>
          </w14:textFill>
        </w:rPr>
        <w:t>创新与</w:t>
      </w:r>
      <w:r>
        <w:rPr>
          <w:rFonts w:hint="eastAsia" w:ascii="宋体" w:hAnsi="宋体"/>
          <w:color w:val="000000" w:themeColor="text1"/>
          <w:sz w:val="18"/>
          <w:szCs w:val="18"/>
          <w14:textFill>
            <w14:solidFill>
              <w14:schemeClr w14:val="tx1"/>
            </w14:solidFill>
          </w14:textFill>
        </w:rPr>
        <w:t>逻辑</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批判性思维</w:t>
      </w:r>
      <w:r>
        <w:rPr>
          <w:rFonts w:hint="eastAsia" w:ascii="宋体" w:hAnsi="宋体"/>
          <w:color w:val="000000" w:themeColor="text1"/>
          <w:spacing w:val="-4"/>
          <w:sz w:val="18"/>
          <w:szCs w:val="18"/>
          <w:lang w:eastAsia="zh-CN"/>
          <w14:textFill>
            <w14:solidFill>
              <w14:schemeClr w14:val="tx1"/>
            </w14:solidFill>
          </w14:textFill>
        </w:rPr>
        <w:t>”课群中选修《逻辑与批判性思维》</w:t>
      </w:r>
      <w:r>
        <w:rPr>
          <w:rFonts w:hint="eastAsia" w:ascii="宋体" w:hAnsi="宋体"/>
          <w:color w:val="000000" w:themeColor="text1"/>
          <w:spacing w:val="-4"/>
          <w:sz w:val="18"/>
          <w:szCs w:val="18"/>
          <w:lang w:val="en-US" w:eastAsia="zh-CN"/>
          <w14:textFill>
            <w14:solidFill>
              <w14:schemeClr w14:val="tx1"/>
            </w14:solidFill>
          </w14:textFill>
        </w:rPr>
        <w:t xml:space="preserve">0.5学分； </w:t>
      </w:r>
    </w:p>
    <w:p>
      <w:pPr>
        <w:ind w:firstLine="688" w:firstLineChars="400"/>
        <w:rPr>
          <w:rFonts w:hint="eastAsia" w:ascii="宋体" w:hAnsi="宋体" w:eastAsia="宋体"/>
          <w:bCs/>
          <w:color w:val="000000" w:themeColor="text1"/>
          <w:sz w:val="18"/>
          <w:szCs w:val="18"/>
          <w:lang w:eastAsia="zh-CN"/>
          <w14:textFill>
            <w14:solidFill>
              <w14:schemeClr w14:val="tx1"/>
            </w14:solidFill>
          </w14:textFill>
        </w:rPr>
      </w:pPr>
      <w:r>
        <w:rPr>
          <w:rFonts w:hint="eastAsia" w:ascii="宋体" w:hAnsi="宋体"/>
          <w:color w:val="000000" w:themeColor="text1"/>
          <w:spacing w:val="-4"/>
          <w:sz w:val="18"/>
          <w:szCs w:val="18"/>
          <w:lang w:val="en-US" w:eastAsia="zh-CN"/>
          <w14:textFill>
            <w14:solidFill>
              <w14:schemeClr w14:val="tx1"/>
            </w14:solidFill>
          </w14:textFill>
        </w:rPr>
        <w:t>6.</w:t>
      </w:r>
      <w:r>
        <w:rPr>
          <w:rFonts w:hint="eastAsia" w:ascii="宋体" w:hAnsi="宋体"/>
          <w:bCs/>
          <w:color w:val="000000" w:themeColor="text1"/>
          <w:sz w:val="18"/>
          <w:szCs w:val="18"/>
          <w14:textFill>
            <w14:solidFill>
              <w14:schemeClr w14:val="tx1"/>
            </w14:solidFill>
          </w14:textFill>
        </w:rPr>
        <w:t>各专业可根据专业人才培养目标和专业认证毕业要求指导学生选择相应的课程，要求学生跨专业跨学科选择课程</w:t>
      </w:r>
      <w:r>
        <w:rPr>
          <w:rFonts w:hint="eastAsia" w:ascii="宋体" w:hAnsi="宋体"/>
          <w:bCs/>
          <w:color w:val="000000" w:themeColor="text1"/>
          <w:sz w:val="18"/>
          <w:szCs w:val="18"/>
          <w:lang w:eastAsia="zh-CN"/>
          <w14:textFill>
            <w14:solidFill>
              <w14:schemeClr w14:val="tx1"/>
            </w14:solidFill>
          </w14:textFill>
        </w:rPr>
        <w:t>；</w:t>
      </w:r>
    </w:p>
    <w:p>
      <w:pPr>
        <w:numPr>
          <w:ilvl w:val="0"/>
          <w:numId w:val="0"/>
        </w:numPr>
        <w:ind w:firstLine="688" w:firstLineChars="400"/>
        <w:rPr>
          <w:rFonts w:hint="eastAsia" w:ascii="宋体" w:hAnsi="宋体"/>
          <w:bCs/>
          <w:color w:val="000000" w:themeColor="text1"/>
          <w:sz w:val="18"/>
          <w:szCs w:val="18"/>
          <w14:textFill>
            <w14:solidFill>
              <w14:schemeClr w14:val="tx1"/>
            </w14:solidFill>
          </w14:textFill>
        </w:rPr>
      </w:pPr>
      <w:r>
        <w:rPr>
          <w:rFonts w:hint="eastAsia" w:ascii="宋体" w:hAnsi="宋体"/>
          <w:color w:val="000000" w:themeColor="text1"/>
          <w:spacing w:val="-4"/>
          <w:sz w:val="18"/>
          <w:szCs w:val="18"/>
          <w:lang w:val="en-US" w:eastAsia="zh-CN"/>
          <w14:textFill>
            <w14:solidFill>
              <w14:schemeClr w14:val="tx1"/>
            </w14:solidFill>
          </w14:textFill>
        </w:rPr>
        <w:t>7.</w:t>
      </w:r>
      <w:r>
        <w:rPr>
          <w:rFonts w:hint="eastAsia" w:ascii="宋体" w:hAnsi="宋体"/>
          <w:color w:val="000000" w:themeColor="text1"/>
          <w:spacing w:val="-4"/>
          <w:sz w:val="18"/>
          <w:szCs w:val="18"/>
          <w14:textFill>
            <w14:solidFill>
              <w14:schemeClr w14:val="tx1"/>
            </w14:solidFill>
          </w14:textFill>
        </w:rPr>
        <w:t>总学分不少于12学分</w:t>
      </w:r>
      <w:r>
        <w:rPr>
          <w:rFonts w:hint="eastAsia" w:ascii="宋体" w:hAnsi="宋体"/>
          <w:bCs/>
          <w:color w:val="000000" w:themeColor="text1"/>
          <w:sz w:val="18"/>
          <w:szCs w:val="18"/>
          <w14:textFill>
            <w14:solidFill>
              <w14:schemeClr w14:val="tx1"/>
            </w14:solidFill>
          </w14:textFill>
        </w:rPr>
        <w:t>。</w:t>
      </w:r>
    </w:p>
    <w:p>
      <w:pPr>
        <w:rPr>
          <w:color w:val="000000" w:themeColor="text1"/>
          <w14:textFill>
            <w14:solidFill>
              <w14:schemeClr w14:val="tx1"/>
            </w14:solidFill>
          </w14:textFill>
        </w:rPr>
      </w:pPr>
    </w:p>
    <w:sectPr>
      <w:pgSz w:w="11906" w:h="16838"/>
      <w:pgMar w:top="1100" w:right="839" w:bottom="1100" w:left="83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WMzNDJjOTAyMDExZGMzOGM0NDRjOGFhZTg4ZmEifQ=="/>
  </w:docVars>
  <w:rsids>
    <w:rsidRoot w:val="3C846273"/>
    <w:rsid w:val="184D55D5"/>
    <w:rsid w:val="29F01BCF"/>
    <w:rsid w:val="3C846273"/>
    <w:rsid w:val="63EC57B8"/>
    <w:rsid w:val="641B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1382</Words>
  <Characters>1399</Characters>
  <Lines>0</Lines>
  <Paragraphs>0</Paragraphs>
  <TotalTime>3</TotalTime>
  <ScaleCrop>false</ScaleCrop>
  <LinksUpToDate>false</LinksUpToDate>
  <CharactersWithSpaces>1401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2022-06-22T23:59:00Z</dcterms:created>
  <dc:creator>慧慧</dc:creator>
  <cp:lastModifiedBy>aaa</cp:lastModifiedBy>
  <dcterms:modified xsi:type="dcterms:W3CDTF">2023-06-24T01:40:00Z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ADDC4BE5332444B8BE941B161DEE5860</vt:lpwstr>
  </property>
</Properties>
</file>